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356" w:leader="none"/>
          <w:tab w:val="left" w:pos="10206" w:leader="none"/>
        </w:tabs>
        <w:spacing w:lineRule="auto" w:line="276" w:before="120" w:after="120"/>
        <w:ind w:right="199" w:hanging="0"/>
        <w:jc w:val="center"/>
        <w:rPr>
          <w:b/>
          <w:b/>
          <w:bCs/>
          <w:color w:val="000000" w:themeColor="text1"/>
          <w:lang w:val="ro-RO"/>
        </w:rPr>
      </w:pPr>
      <w:r>
        <w:rPr>
          <w:b/>
          <w:bCs/>
          <w:color w:val="000000" w:themeColor="text1"/>
          <w:lang w:val="ro-RO"/>
        </w:rPr>
        <w:t xml:space="preserve">CAMPANIE COMUNICARE PENTRU RESORTIZANŢI BRITANICI ÎN CONTEXTUL RETRAGERII REGATULUI UNIT AL MARII BRITANI ŞI IRLANDEI DE NORD DIN UNIUNEA EUROPEANĂ </w:t>
      </w:r>
    </w:p>
    <w:p>
      <w:pPr>
        <w:pStyle w:val="Normal"/>
        <w:tabs>
          <w:tab w:val="clear" w:pos="720"/>
          <w:tab w:val="left" w:pos="9356" w:leader="none"/>
          <w:tab w:val="left" w:pos="10206" w:leader="none"/>
        </w:tabs>
        <w:spacing w:lineRule="auto" w:line="276" w:before="120" w:after="120"/>
        <w:ind w:right="199" w:hanging="0"/>
        <w:jc w:val="center"/>
        <w:rPr>
          <w:b/>
          <w:b/>
          <w:bCs/>
          <w:i/>
          <w:i/>
          <w:color w:val="000000" w:themeColor="text1"/>
          <w:lang w:val="ro-RO"/>
        </w:rPr>
      </w:pPr>
      <w:r>
        <w:rPr>
          <w:b/>
          <w:bCs/>
          <w:i/>
          <w:color w:val="000000" w:themeColor="text1"/>
          <w:lang w:val="ro-RO"/>
        </w:rPr>
        <w:t>DOMENIUL ASIGURĂRI DE SĂNĂTATE</w:t>
      </w:r>
    </w:p>
    <w:p>
      <w:pPr>
        <w:pStyle w:val="Normal"/>
        <w:tabs>
          <w:tab w:val="clear" w:pos="720"/>
          <w:tab w:val="left" w:pos="9356" w:leader="none"/>
          <w:tab w:val="left" w:pos="10206" w:leader="none"/>
        </w:tabs>
        <w:spacing w:lineRule="auto" w:line="276" w:before="120" w:after="120"/>
        <w:ind w:right="199" w:hanging="0"/>
        <w:jc w:val="center"/>
        <w:rPr>
          <w:b/>
          <w:b/>
          <w:bCs/>
          <w:i/>
          <w:i/>
          <w:color w:val="000000" w:themeColor="text1"/>
          <w:lang w:val="ro-RO"/>
        </w:rPr>
      </w:pPr>
      <w:r>
        <w:rPr>
          <w:b/>
          <w:bCs/>
          <w:i/>
          <w:color w:val="000000" w:themeColor="text1"/>
          <w:lang w:val="ro-RO"/>
        </w:rPr>
      </w:r>
    </w:p>
    <w:p>
      <w:pPr>
        <w:pStyle w:val="Normal"/>
        <w:shd w:val="clear" w:color="auto" w:fill="D9D9D9" w:themeFill="background1" w:themeFillShade="d9"/>
        <w:tabs>
          <w:tab w:val="clear" w:pos="720"/>
          <w:tab w:val="left" w:pos="9356" w:leader="none"/>
          <w:tab w:val="left" w:pos="10206" w:leader="none"/>
        </w:tabs>
        <w:spacing w:lineRule="auto" w:line="276" w:before="120" w:after="120"/>
        <w:ind w:right="199" w:hanging="0"/>
        <w:jc w:val="center"/>
        <w:rPr>
          <w:b/>
          <w:b/>
          <w:bCs/>
          <w:color w:val="0070C0"/>
          <w:lang w:val="ro-RO"/>
        </w:rPr>
      </w:pPr>
      <w:r>
        <w:rPr>
          <w:b/>
          <w:bCs/>
          <w:color w:val="0070C0"/>
          <w:lang w:val="ro-RO"/>
        </w:rPr>
        <w:t>INFORMAȚII GENERALE PRIVIND PERIOADA DE TRANZIȚIE (până la data de 31.12.2020)</w:t>
      </w:r>
    </w:p>
    <w:p>
      <w:pPr>
        <w:pStyle w:val="Normal"/>
        <w:shd w:val="clear" w:color="auto" w:fill="FFFFFF"/>
        <w:tabs>
          <w:tab w:val="clear" w:pos="720"/>
          <w:tab w:val="left" w:pos="9356" w:leader="none"/>
          <w:tab w:val="left" w:pos="10206" w:leader="none"/>
        </w:tabs>
        <w:spacing w:lineRule="auto" w:line="276" w:before="120" w:after="120"/>
        <w:ind w:right="199" w:hanging="0"/>
        <w:jc w:val="both"/>
        <w:rPr>
          <w:rFonts w:eastAsia="Times New Roman"/>
          <w:lang w:val="ro-RO" w:eastAsia="ro-RO"/>
        </w:rPr>
      </w:pPr>
      <w:r>
        <w:rPr>
          <w:rFonts w:eastAsia="Times New Roman"/>
          <w:lang w:val="ro-RO" w:eastAsia="ro-RO"/>
        </w:rPr>
        <w:t xml:space="preserve">Pe durata perioadei de tranziție, până la 31 decembrie 2020, resortisanţii britanici și membrii lor de familie </w:t>
      </w:r>
      <w:r>
        <w:rPr>
          <w:rFonts w:eastAsia="Times New Roman"/>
          <w:bCs/>
          <w:lang w:val="ro-RO" w:eastAsia="ro-RO"/>
        </w:rPr>
        <w:t>continuă să beneficieze de dreptul lor la libera circulaţie pentru a merge şi a lucra, a studia, a începe o afacere sau a locui în România.</w:t>
      </w:r>
    </w:p>
    <w:p>
      <w:pPr>
        <w:pStyle w:val="Normal"/>
        <w:tabs>
          <w:tab w:val="clear" w:pos="720"/>
          <w:tab w:val="left" w:pos="9356" w:leader="none"/>
          <w:tab w:val="left" w:pos="10206" w:leader="none"/>
        </w:tabs>
        <w:suppressAutoHyphens w:val="true"/>
        <w:spacing w:lineRule="auto" w:line="276" w:before="120" w:after="120"/>
        <w:ind w:right="199" w:hanging="0"/>
        <w:jc w:val="both"/>
        <w:rPr>
          <w:lang w:val="ro-RO"/>
        </w:rPr>
      </w:pPr>
      <w:r>
        <w:rPr>
          <w:lang w:val="ro-RO"/>
        </w:rPr>
        <w:t>Prin urmare,  a</w:t>
      </w:r>
      <w:r>
        <w:rPr>
          <w:rFonts w:eastAsia="Times New Roman"/>
          <w:lang w:val="ro-RO" w:eastAsia="ro-RO"/>
        </w:rPr>
        <w:t>sigurații britanici care călătoresc în România pot utiliza Cardul</w:t>
      </w:r>
      <w:r>
        <w:rPr>
          <w:lang w:val="ro-RO"/>
        </w:rPr>
        <w:t xml:space="preserve"> European de Asigurări Sociale de Sănătate - CEASS </w:t>
      </w:r>
      <w:r>
        <w:rPr>
          <w:i/>
          <w:lang w:val="ro-RO"/>
        </w:rPr>
        <w:t>(EHIC – European Health Insurance Card)</w:t>
      </w:r>
      <w:r>
        <w:rPr>
          <w:lang w:val="ro-RO"/>
        </w:rPr>
        <w:t xml:space="preserve"> sau Certificatul provizoriu de înlocuire a CEASS-ului </w:t>
      </w:r>
      <w:r>
        <w:rPr>
          <w:i/>
          <w:lang w:val="ro-RO"/>
        </w:rPr>
        <w:t>(PRC – Provisional Replacement Certificate)</w:t>
      </w:r>
      <w:r>
        <w:rPr>
          <w:lang w:val="ro-RO"/>
        </w:rPr>
        <w:t xml:space="preserve"> și, de asemenea, cei care au reşedinţa stabilită în România </w:t>
      </w:r>
      <w:r>
        <w:rPr>
          <w:rFonts w:eastAsia="Times New Roman"/>
          <w:lang w:val="ro-RO" w:eastAsia="ro-RO"/>
        </w:rPr>
        <w:t xml:space="preserve">pot utiliza documentul portabil </w:t>
      </w:r>
      <w:r>
        <w:rPr>
          <w:rFonts w:eastAsia="Times New Roman"/>
          <w:i/>
          <w:lang w:val="ro-RO" w:eastAsia="ro-RO"/>
        </w:rPr>
        <w:t>S1</w:t>
      </w:r>
      <w:r>
        <w:rPr>
          <w:lang w:val="ro-RO"/>
        </w:rPr>
        <w:t>.</w:t>
      </w:r>
    </w:p>
    <w:p>
      <w:pPr>
        <w:pStyle w:val="Normal"/>
        <w:tabs>
          <w:tab w:val="clear" w:pos="720"/>
          <w:tab w:val="left" w:pos="9356" w:leader="none"/>
          <w:tab w:val="left" w:pos="10206" w:leader="none"/>
        </w:tabs>
        <w:suppressAutoHyphens w:val="true"/>
        <w:spacing w:lineRule="auto" w:line="276" w:before="120" w:after="120"/>
        <w:ind w:right="199" w:hanging="0"/>
        <w:jc w:val="both"/>
        <w:rPr>
          <w:rFonts w:eastAsia="Times New Roman"/>
          <w:lang w:val="ro-RO" w:eastAsia="ro-RO"/>
        </w:rPr>
      </w:pPr>
      <w:r>
        <w:rPr>
          <w:rFonts w:eastAsia="Times New Roman"/>
          <w:lang w:val="ro-RO" w:eastAsia="ro-RO"/>
        </w:rPr>
        <w:t>Totodată, pe durata perioadei de tranziție, asigurații britanici pot solicita instituţiei competente din Regatul Unit, emiterea documentul portabil S2, cu scopul de a beneficia de tratament planificat la un furnizor de servicii medicale din România.</w:t>
      </w:r>
    </w:p>
    <w:p>
      <w:pPr>
        <w:pStyle w:val="Normal"/>
        <w:tabs>
          <w:tab w:val="clear" w:pos="720"/>
          <w:tab w:val="left" w:pos="9356" w:leader="none"/>
          <w:tab w:val="left" w:pos="10206" w:leader="none"/>
        </w:tabs>
        <w:suppressAutoHyphens w:val="true"/>
        <w:spacing w:lineRule="auto" w:line="276" w:before="120" w:after="120"/>
        <w:ind w:right="199" w:hanging="0"/>
        <w:jc w:val="both"/>
        <w:rPr>
          <w:rFonts w:eastAsia="Times New Roman"/>
          <w:lang w:val="ro-RO" w:eastAsia="ro-RO"/>
        </w:rPr>
      </w:pPr>
      <w:r>
        <w:rPr>
          <w:rFonts w:eastAsia="Times New Roman"/>
          <w:lang w:val="ro-RO"/>
        </w:rPr>
        <w:tab/>
      </w:r>
    </w:p>
    <w:p>
      <w:pPr>
        <w:pStyle w:val="Normal"/>
        <w:shd w:val="clear" w:color="auto" w:fill="D9D9D9" w:themeFill="background1" w:themeFillShade="d9"/>
        <w:tabs>
          <w:tab w:val="clear" w:pos="720"/>
          <w:tab w:val="left" w:pos="9356" w:leader="none"/>
          <w:tab w:val="left" w:pos="10206" w:leader="none"/>
        </w:tabs>
        <w:spacing w:lineRule="auto" w:line="276" w:before="120" w:after="120"/>
        <w:ind w:right="199" w:hanging="0"/>
        <w:jc w:val="center"/>
        <w:rPr>
          <w:b/>
          <w:b/>
          <w:bCs/>
          <w:color w:val="0070C0"/>
          <w:lang w:val="ro-RO"/>
        </w:rPr>
      </w:pPr>
      <w:r>
        <w:rPr>
          <w:b/>
          <w:bCs/>
          <w:color w:val="0070C0"/>
          <w:lang w:val="ro-RO"/>
        </w:rPr>
        <w:t>INFORMAȚII GENERALE PRIVIND PERIOADA POST-TRANZIȚIE (începând cu data de 01.01.2021)</w:t>
      </w:r>
    </w:p>
    <w:p>
      <w:pPr>
        <w:pStyle w:val="Normal"/>
        <w:spacing w:lineRule="auto" w:line="276" w:before="120" w:after="120"/>
        <w:ind w:right="-23" w:hanging="0"/>
        <w:jc w:val="both"/>
        <w:rPr>
          <w:bCs/>
          <w:color w:val="000000" w:themeColor="text1"/>
          <w:lang w:val="ro-RO"/>
        </w:rPr>
      </w:pPr>
      <w:r>
        <w:rPr>
          <w:bCs/>
          <w:color w:val="000000" w:themeColor="text1"/>
          <w:lang w:val="ro-RO"/>
        </w:rPr>
        <w:t xml:space="preserve">După finalizarea perioadei de tranziție, resortisanţii britanici, care s-au înregistrat pe teritoriul României conform condiţiilor din Acordului de retragere, vor avea </w:t>
      </w:r>
      <w:r>
        <w:rPr>
          <w:bCs/>
          <w:lang w:val="ro-RO"/>
        </w:rPr>
        <w:t xml:space="preserve">accesul la serviciile medicale pe teritoriul României, </w:t>
      </w:r>
      <w:r>
        <w:rPr>
          <w:bCs/>
          <w:color w:val="000000" w:themeColor="text1"/>
          <w:lang w:val="ro-RO"/>
        </w:rPr>
        <w:t>în baza prevederilor legislației naționale și ale prevederilor comunitare de coordonare a sistemelor de securitate socială prevăzute în Regulamentul (CE) nr. 883/2004</w:t>
      </w:r>
      <w:r>
        <w:rPr>
          <w:rFonts w:eastAsia="Times New Roman"/>
          <w:lang w:val="ro-RO"/>
        </w:rPr>
        <w:t xml:space="preserve"> privind coordonarea sistemelor de securitate socială</w:t>
      </w:r>
      <w:r>
        <w:rPr>
          <w:bCs/>
          <w:color w:val="000000" w:themeColor="text1"/>
          <w:lang w:val="ro-RO"/>
        </w:rPr>
        <w:t xml:space="preserve"> și în Regulamentul (CE) nr. 987/2009 de implementare a Regulamentului (CE) nr. 883/2004. Drepturile asiguraţilor britanici, aflaţi în situaţia menţionată anterior, de a accesa prestațiile corespunzătoare sistemului social de asigurări de sănătate, pe teritoriul României, vor fi acordate pe perioada în care sunt îndeplinite condițiile prevăzute în Acordul de retragere. </w:t>
      </w:r>
    </w:p>
    <w:p>
      <w:pPr>
        <w:pStyle w:val="Normal"/>
        <w:spacing w:lineRule="auto" w:line="276" w:before="120" w:after="120"/>
        <w:ind w:right="-23" w:hanging="0"/>
        <w:jc w:val="both"/>
        <w:rPr>
          <w:lang w:val="ro-RO"/>
        </w:rPr>
      </w:pPr>
      <w:r>
        <w:rPr>
          <w:lang w:val="ro-RO"/>
        </w:rPr>
      </w:r>
    </w:p>
    <w:p>
      <w:pPr>
        <w:pStyle w:val="Normal"/>
        <w:tabs>
          <w:tab w:val="clear" w:pos="720"/>
          <w:tab w:val="left" w:pos="9356" w:leader="none"/>
          <w:tab w:val="left" w:pos="10206" w:leader="none"/>
        </w:tabs>
        <w:spacing w:lineRule="auto" w:line="276" w:before="120" w:after="120"/>
        <w:ind w:right="199" w:hanging="0"/>
        <w:jc w:val="both"/>
        <w:rPr>
          <w:b/>
          <w:b/>
          <w:i/>
          <w:i/>
          <w:color w:val="0000FF"/>
          <w:u w:val="single"/>
          <w:lang w:val="ro-RO"/>
        </w:rPr>
      </w:pPr>
      <w:r>
        <w:rPr>
          <w:b/>
          <w:i/>
          <w:color w:val="0000FF"/>
          <w:u w:val="single"/>
          <w:lang w:val="ro-RO"/>
        </w:rPr>
        <w:t>Domiciliu sau reşedinţa în România.</w:t>
      </w:r>
    </w:p>
    <w:p>
      <w:pPr>
        <w:pStyle w:val="Normal"/>
        <w:spacing w:lineRule="auto" w:line="276" w:before="120" w:after="120"/>
        <w:ind w:right="-23" w:hanging="0"/>
        <w:jc w:val="both"/>
        <w:rPr>
          <w:rFonts w:eastAsia="Times New Roman"/>
          <w:lang w:val="ro-RO"/>
        </w:rPr>
      </w:pPr>
      <w:r>
        <w:rPr>
          <w:rFonts w:eastAsia="Times New Roman"/>
          <w:lang w:val="ro-RO"/>
        </w:rPr>
        <w:t>Asiguraţii britanici care vor continua şi după data de 31 decembrie 2020, să îşi păstreze reşedinţa legală în România, vor putea beneficia în continuare de acces la furnizorii de servicii medicale, medicamente şi dispozitive medicale de pe teritoriul României, ca şi beneficiari ai Acordului de retragere.</w:t>
      </w:r>
    </w:p>
    <w:p>
      <w:pPr>
        <w:pStyle w:val="Normal"/>
        <w:spacing w:lineRule="auto" w:line="276" w:before="120" w:after="120"/>
        <w:ind w:right="-23" w:hanging="0"/>
        <w:jc w:val="both"/>
        <w:rPr>
          <w:rFonts w:eastAsia="Times New Roman"/>
          <w:lang w:val="ro-RO"/>
        </w:rPr>
      </w:pPr>
      <w:r>
        <w:rPr>
          <w:rFonts w:eastAsia="Times New Roman"/>
          <w:lang w:val="ro-RO"/>
        </w:rPr>
        <w:t xml:space="preserve"> </w:t>
      </w:r>
      <w:r>
        <w:rPr>
          <w:rFonts w:eastAsia="Times New Roman"/>
          <w:lang w:val="ro-RO"/>
        </w:rPr>
        <w:t>Beneficiarii Acordului de retragere se împart în doua categorii:</w:t>
      </w:r>
    </w:p>
    <w:p>
      <w:pPr>
        <w:pStyle w:val="ListParagraph"/>
        <w:numPr>
          <w:ilvl w:val="0"/>
          <w:numId w:val="1"/>
        </w:numPr>
        <w:spacing w:lineRule="auto" w:line="276" w:before="120" w:after="120"/>
        <w:ind w:left="720" w:right="-23" w:hanging="360"/>
        <w:jc w:val="both"/>
        <w:rPr>
          <w:rFonts w:eastAsia="Times New Roman"/>
          <w:lang w:val="ro-RO"/>
        </w:rPr>
      </w:pPr>
      <w:r>
        <w:rPr>
          <w:rFonts w:eastAsia="Times New Roman"/>
          <w:lang w:val="ro-RO"/>
        </w:rPr>
        <w:t xml:space="preserve">asiguraţii britanici, posesori ai documentului portabil S1. Documentul portabil S1 deschide dreptul la </w:t>
      </w:r>
      <w:r>
        <w:rPr>
          <w:lang w:val="ro-RO"/>
        </w:rPr>
        <w:t>prestațiile în natură acordate, în numele instituției competente emitentă din Regatul Unit, de către instituția din România, în conformitate cu dispozițiile legislației pe care o aplică, ca și cum ar fi fost asigurat în România în temeiul legislației naţionale. Acest document se emite de către instituţia competentă din Regatul Unit şi necesită a fi</w:t>
      </w:r>
      <w:r>
        <w:rPr>
          <w:rFonts w:eastAsia="Times New Roman"/>
          <w:lang w:val="ro-RO"/>
        </w:rPr>
        <w:t xml:space="preserve"> înregistrează la una din casele de asigurări de sănătate din România</w:t>
      </w:r>
      <w:r>
        <w:rPr>
          <w:lang w:val="ro-RO"/>
        </w:rPr>
        <w:t>;</w:t>
      </w:r>
    </w:p>
    <w:p>
      <w:pPr>
        <w:pStyle w:val="ListParagraph"/>
        <w:numPr>
          <w:ilvl w:val="0"/>
          <w:numId w:val="1"/>
        </w:numPr>
        <w:tabs>
          <w:tab w:val="clear" w:pos="720"/>
          <w:tab w:val="left" w:pos="9356" w:leader="none"/>
          <w:tab w:val="left" w:pos="10206" w:leader="none"/>
        </w:tabs>
        <w:spacing w:lineRule="auto" w:line="276" w:before="120" w:after="120"/>
        <w:ind w:left="720" w:right="199" w:hanging="360"/>
        <w:jc w:val="both"/>
        <w:rPr>
          <w:rFonts w:eastAsia="Times New Roman"/>
          <w:lang w:val="ro-RO"/>
        </w:rPr>
      </w:pPr>
      <w:r>
        <w:rPr>
          <w:lang w:val="ro-RO"/>
        </w:rPr>
        <w:t xml:space="preserve">resortisanţii britanici care nu sunt asiguraţi în Regatul Unit, dar care sunt înregistraţi în sistemul de asigurări sociale se sănătate din România. </w:t>
      </w:r>
      <w:r>
        <w:rPr>
          <w:u w:val="single"/>
          <w:lang w:val="ro-RO"/>
        </w:rPr>
        <w:t>Atenţionare</w:t>
      </w:r>
      <w:r>
        <w:rPr>
          <w:lang w:val="ro-RO"/>
        </w:rPr>
        <w:t>: În momentul obţinerii noului permis de şedere, care atestă reşedinţa legală pe teritoriul României în calitate de beneficiar al Acordului de retragere, este necesar ca o copie după acest document, să fie transmisă la casa de asigurări de sănătate unde persoana este înregistrată.</w:t>
      </w:r>
    </w:p>
    <w:p>
      <w:pPr>
        <w:pStyle w:val="Normal"/>
        <w:spacing w:lineRule="auto" w:line="276" w:before="120" w:after="120"/>
        <w:ind w:right="-23" w:hanging="0"/>
        <w:jc w:val="both"/>
        <w:rPr>
          <w:rFonts w:eastAsia="Times New Roman"/>
          <w:lang w:val="ro-RO"/>
        </w:rPr>
      </w:pPr>
      <w:r>
        <w:rPr>
          <w:rFonts w:eastAsia="Times New Roman"/>
          <w:lang w:val="ro-RO"/>
        </w:rPr>
        <w:t xml:space="preserve">În ceea ce priveşte documentului portabil S1 emis de UK pentru lucrătorii detaşaţi, valabil şi dincolo de data de 31 decembrie 2020, acesta se va anula automat începând cu data de 1 ianuarie 2021, deoarece, pentru </w:t>
      </w:r>
      <w:r>
        <w:rPr>
          <w:rFonts w:eastAsia="Times New Roman"/>
          <w:u w:val="single"/>
          <w:lang w:val="ro-RO"/>
        </w:rPr>
        <w:t>detașarea lucrătorilor nu va exista</w:t>
      </w:r>
      <w:r>
        <w:rPr>
          <w:rFonts w:eastAsia="Times New Roman"/>
          <w:lang w:val="ro-RO"/>
        </w:rPr>
        <w:t xml:space="preserve"> o coordonare a sistemelor de securitate socială, în temeiul legislației UE, după sfârșitul perioadei de tranziție, iniţiată înainte de sfârșitul perioadei de tranziție şi care este </w:t>
      </w:r>
      <w:r>
        <w:rPr>
          <w:rFonts w:eastAsia="Times New Roman"/>
          <w:u w:val="single"/>
          <w:lang w:val="ro-RO"/>
        </w:rPr>
        <w:t>legată de furnizarea de servicii.</w:t>
      </w:r>
      <w:r>
        <w:rPr>
          <w:rFonts w:eastAsia="Times New Roman"/>
          <w:lang w:val="ro-RO"/>
        </w:rPr>
        <w:t xml:space="preserve"> </w:t>
      </w:r>
    </w:p>
    <w:p>
      <w:pPr>
        <w:pStyle w:val="Normal"/>
        <w:spacing w:lineRule="auto" w:line="276" w:before="120" w:after="120"/>
        <w:ind w:right="-23" w:hanging="0"/>
        <w:jc w:val="both"/>
        <w:rPr>
          <w:rFonts w:eastAsia="Times New Roman"/>
          <w:lang w:val="ro-RO"/>
        </w:rPr>
      </w:pPr>
      <w:r>
        <w:rPr>
          <w:rFonts w:eastAsia="Times New Roman"/>
          <w:lang w:val="ro-RO"/>
        </w:rPr>
        <w:t>Cu toate acestea, lucrătorii detașați în sensul articolului 12 din Regulamentul (CE) nr. 883/2004, a căror detașare nu este legată de furnizarea de servicii (</w:t>
      </w:r>
      <w:r>
        <w:rPr>
          <w:rFonts w:eastAsia="Times New Roman"/>
          <w:i/>
          <w:lang w:val="ro-RO"/>
        </w:rPr>
        <w:t>de exemplu: detașarea în scopuri de instruire sau participarea la conferință</w:t>
      </w:r>
      <w:r>
        <w:rPr>
          <w:rFonts w:eastAsia="Times New Roman"/>
          <w:lang w:val="ro-RO"/>
        </w:rPr>
        <w:t>) intră în sfera de aplicare a Acordului de retragere iar Regulamentul (CE) nr. 883/2004 continuă să se aplice după încheierea perioadei de tranziție în condițiile stabilite în Acordul de retragere.</w:t>
      </w:r>
    </w:p>
    <w:p>
      <w:pPr>
        <w:pStyle w:val="Normal"/>
        <w:jc w:val="both"/>
        <w:rPr>
          <w:lang w:val="ro-RO"/>
        </w:rPr>
      </w:pPr>
      <w:r>
        <w:rPr>
          <w:lang w:val="ro-RO"/>
        </w:rPr>
        <w:t xml:space="preserve">NHSBSA va continua să fie instituţia competentă din Regatul Unit, pentru emiterea documentelor portabile S1 și S2. Procesul de emitere a documentelor S1 și S2 va fi același ca şi până acum, cu excepția faptului că NHSBSA va evalua, de asemenea, dacă solicitanţii se încadrează conform criteriilor Acordului de retragere, şi dacă au reședință sau plătesc contribuțiile de asigurări de sănătate în alte state membre, înainte de a emite orice document. </w:t>
      </w:r>
    </w:p>
    <w:p>
      <w:pPr>
        <w:pStyle w:val="Normal"/>
        <w:jc w:val="both"/>
        <w:rPr>
          <w:lang w:val="ro-RO"/>
        </w:rPr>
      </w:pPr>
      <w:r>
        <w:rPr>
          <w:lang w:val="ro-RO"/>
        </w:rPr>
        <w:t>Regatul Unit nu va emite noi documente portabile S1 pentru posesorii de S1 valabil, deoarece cele existente vor rămâne valabile în continuare şi după data de 31 decembrie 2020, iar orice document portabil S1 sau S2 emis după sfârșitul perioadei de tranziție va fi destinat numai persoanelor eligibile în temeiul Acordului de retragere.</w:t>
      </w:r>
    </w:p>
    <w:p>
      <w:pPr>
        <w:pStyle w:val="Normal"/>
        <w:jc w:val="both"/>
        <w:rPr>
          <w:lang w:val="ro-RO"/>
        </w:rPr>
      </w:pPr>
      <w:r>
        <w:rPr>
          <w:lang w:val="ro-RO"/>
        </w:rPr>
      </w:r>
    </w:p>
    <w:p>
      <w:pPr>
        <w:pStyle w:val="Normal"/>
        <w:tabs>
          <w:tab w:val="clear" w:pos="720"/>
          <w:tab w:val="left" w:pos="9356" w:leader="none"/>
          <w:tab w:val="left" w:pos="10206" w:leader="none"/>
        </w:tabs>
        <w:spacing w:lineRule="auto" w:line="276" w:before="120" w:after="120"/>
        <w:ind w:right="199" w:firstLine="720"/>
        <w:jc w:val="both"/>
        <w:rPr>
          <w:b/>
          <w:b/>
          <w:i/>
          <w:i/>
          <w:color w:val="0000FF"/>
          <w:u w:val="single"/>
          <w:lang w:val="ro-RO"/>
        </w:rPr>
      </w:pPr>
      <w:r>
        <w:rPr>
          <w:b/>
          <w:i/>
          <w:color w:val="0000FF"/>
          <w:u w:val="single"/>
          <w:lang w:val="ro-RO"/>
        </w:rPr>
        <w:t>Şederea pe termen scurt în România:</w:t>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t xml:space="preserve">Asiguraţii britanici care se află pe teritoriul România înainte de încheierea perioadei de tranziție şi care doresc extinderea, fără întrerupere, a perioadei de şedere, dincolo de 31 decembrie 2020, pot  accesa serviciile furnizorii de servicii medicale, medicamente şi dispozitive medicale de pe teritoriul României, în condițiile Acordului de retragere şi în baza noului model de European Health Insurence Card – EHIC  sau a noului model de Certificatul provizoriu de înlocuire a EHIC </w:t>
      </w:r>
      <w:r>
        <w:rPr>
          <w:i/>
          <w:lang w:val="ro-RO"/>
        </w:rPr>
        <w:t>PRC – Provisional Replacement Certificate,</w:t>
      </w:r>
      <w:r>
        <w:rPr>
          <w:rFonts w:eastAsia="Times New Roman"/>
          <w:lang w:val="ro-RO"/>
        </w:rPr>
        <w:t xml:space="preserve"> valabil, emise de Regatul Unit.  Acest document nu se înregistrează la una din casele de asigurări de sănătate, ci se prezintă furnizorului de servicii medicale aflat în relaţie contractuală cu una din casele de asigurări de sănătate, atunci când persoana are nevoie de tratament devenit necesar pe perioada şederii temporare pe teritoriul Românie. </w:t>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lang w:val="ro-RO"/>
        </w:rPr>
      </w:pPr>
      <w:r>
        <w:rPr>
          <w:lang w:val="ro-RO"/>
        </w:rPr>
        <w:t xml:space="preserve">Noul model de EHIC va permite furnizorilor de servicii medicale din statele membre să distingă cu ușurință între membrii grupului „Dreptul cetățenilor” și cardurile EHIC preexistente care nu vor mai fi valabile; EHIC „Dreptul cetățenilor” va include o hologramă în colțul din dreapta sus și textul „CRA” (Citizens ’Rights Agreement) imprimat în câmpul de sus al cardului și codului PIN. </w:t>
      </w:r>
    </w:p>
    <w:p>
      <w:pPr>
        <w:pStyle w:val="Normal"/>
        <w:tabs>
          <w:tab w:val="clear" w:pos="720"/>
          <w:tab w:val="left" w:pos="9356" w:leader="none"/>
          <w:tab w:val="left" w:pos="10206" w:leader="none"/>
        </w:tabs>
        <w:spacing w:lineRule="auto" w:line="276" w:before="120" w:after="120"/>
        <w:ind w:right="199" w:hanging="0"/>
        <w:jc w:val="both"/>
        <w:rPr>
          <w:lang w:val="ro-RO"/>
        </w:rPr>
      </w:pPr>
      <w:r>
        <w:rPr>
          <w:lang w:val="ro-RO"/>
        </w:rPr>
      </w:r>
    </w:p>
    <w:p>
      <w:pPr>
        <w:pStyle w:val="Normal"/>
        <w:tabs>
          <w:tab w:val="clear" w:pos="720"/>
          <w:tab w:val="left" w:pos="9356" w:leader="none"/>
          <w:tab w:val="left" w:pos="10206" w:leader="none"/>
        </w:tabs>
        <w:spacing w:lineRule="auto" w:line="276" w:before="120" w:after="120"/>
        <w:ind w:right="199" w:hanging="0"/>
        <w:jc w:val="both"/>
        <w:rPr>
          <w:lang w:val="ro-RO"/>
        </w:rPr>
      </w:pPr>
      <w:r>
        <w:rPr>
          <w:lang w:val="ro-RO"/>
        </w:rPr>
      </w:r>
    </w:p>
    <w:p>
      <w:pPr>
        <w:pStyle w:val="ListParagraph"/>
        <w:numPr>
          <w:ilvl w:val="0"/>
          <w:numId w:val="2"/>
        </w:numPr>
        <w:jc w:val="both"/>
        <w:rPr>
          <w:lang w:val="ro-RO"/>
        </w:rPr>
      </w:pPr>
      <w:r>
        <w:rPr>
          <w:lang w:val="ro-RO"/>
        </w:rPr>
        <w:t xml:space="preserve">Exemplu nou model de EHIC „Dreptul cetăţeanului” emis de UK </w:t>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mc:AlternateContent>
          <mc:Choice Requires="wpg">
            <w:drawing>
              <wp:anchor behindDoc="0" distT="0" distB="0" distL="0" distR="0" simplePos="0" locked="0" layoutInCell="0" allowOverlap="1" relativeHeight="3" wp14:anchorId="79552218">
                <wp:simplePos x="0" y="0"/>
                <wp:positionH relativeFrom="column">
                  <wp:posOffset>79375</wp:posOffset>
                </wp:positionH>
                <wp:positionV relativeFrom="paragraph">
                  <wp:posOffset>-476885</wp:posOffset>
                </wp:positionV>
                <wp:extent cx="4451350" cy="2655570"/>
                <wp:effectExtent l="0" t="0" r="6985" b="0"/>
                <wp:wrapNone/>
                <wp:docPr id="1" name="Group 7"/>
                <a:graphic xmlns:a="http://schemas.openxmlformats.org/drawingml/2006/main">
                  <a:graphicData uri="http://schemas.microsoft.com/office/word/2010/wordprocessingGroup">
                    <wpg:wgp>
                      <wpg:cNvGrpSpPr/>
                      <wpg:grpSpPr>
                        <a:xfrm>
                          <a:off x="0" y="0"/>
                          <a:ext cx="4450680" cy="2655000"/>
                        </a:xfrm>
                      </wpg:grpSpPr>
                      <pic:pic xmlns:pic="http://schemas.openxmlformats.org/drawingml/2006/picture">
                        <pic:nvPicPr>
                          <pic:cNvPr id="0" name="Picture 5" descr=""/>
                          <pic:cNvPicPr/>
                        </pic:nvPicPr>
                        <pic:blipFill>
                          <a:blip r:embed="rId2"/>
                          <a:srcRect l="12999" t="22761" r="27752" b="14734"/>
                          <a:stretch/>
                        </pic:blipFill>
                        <pic:spPr>
                          <a:xfrm>
                            <a:off x="0" y="0"/>
                            <a:ext cx="4450680" cy="2655000"/>
                          </a:xfrm>
                          <a:prstGeom prst="rect">
                            <a:avLst/>
                          </a:prstGeom>
                          <a:ln w="0">
                            <a:noFill/>
                          </a:ln>
                        </pic:spPr>
                      </pic:pic>
                      <wps:wsp>
                        <wps:cNvSpPr/>
                        <wps:spPr>
                          <a:xfrm>
                            <a:off x="3732480" y="104760"/>
                            <a:ext cx="579240" cy="347400"/>
                          </a:xfrm>
                          <a:prstGeom prst="rect">
                            <a:avLst/>
                          </a:prstGeom>
                          <a:solidFill>
                            <a:srgbClr val="526e96"/>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3732480" y="144000"/>
                            <a:ext cx="477360" cy="492840"/>
                          </a:xfrm>
                          <a:prstGeom prst="roundRect">
                            <a:avLst>
                              <a:gd name="adj" fmla="val 16667"/>
                            </a:avLst>
                          </a:prstGeom>
                          <a:blipFill rotWithShape="0">
                            <a:blip r:embed="rId3"/>
                            <a:stretch>
                              <a:fillRect l="833528" t="1047526" r="1348535" b="751562"/>
                            </a:stretch>
                          </a:blipFill>
                          <a:ln w="0">
                            <a:noFill/>
                          </a:ln>
                          <a:effectLst>
                            <a:outerShdw algn="tl" blurRad="76200" dir="7800819" dist="38073" rotWithShape="0">
                              <a:srgbClr val="000000">
                                <a:alpha val="40000"/>
                              </a:srgbClr>
                            </a:outerShdw>
                          </a:effectLst>
                          <a:scene3d>
                            <a:camera prst="orthographicFront"/>
                            <a:lightRig dir="t" rig="contrasting">
                              <a:rot lat="0" lon="0" rev="4200000"/>
                            </a:lightRig>
                          </a:scene3d>
                          <a:sp3d prstMaterial="plastic">
                            <a:bevelT prst="relaxedInset" w="381000" h="114300"/>
                            <a:contourClr>
                              <a:srgbClr val="969696"/>
                            </a:contourClr>
                          </a:sp3d>
                        </wps:spPr>
                        <wps:style>
                          <a:lnRef idx="0"/>
                          <a:fillRef idx="0"/>
                          <a:effectRef idx="0"/>
                          <a:fontRef idx="minor"/>
                        </wps:style>
                        <wps:bodyPr/>
                      </wps:wsp>
                    </wpg:wgp>
                  </a:graphicData>
                </a:graphic>
              </wp:anchor>
            </w:drawing>
          </mc:Choice>
          <mc:Fallback>
            <w:pict>
              <v:group id="shape_0" alt="Group 7" style="position:absolute;margin-left:6.25pt;margin-top:-37.55pt;width:350.45pt;height:209.05pt" coordorigin="125,-751" coordsize="7009,418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left:125;top:-751;width:7008;height:4180;v-text-anchor:middle" type="shapetype_75">
                  <v:imagedata r:id="rId2" o:detectmouseclick="t"/>
                  <w10:wrap type="none"/>
                  <v:stroke color="#3465a4" joinstyle="round" endcap="flat"/>
                </v:shape>
                <v:rect id="shape_0" ID="Rectangle 6" fillcolor="#526e96" stroked="f" style="position:absolute;left:6003;top:-586;width:911;height:546;v-text-anchor:middle">
                  <w10:wrap type="none"/>
                  <v:fill o:detectmouseclick="t" type="solid" color2="#ad9169"/>
                  <v:stroke color="#3465a4" weight="12600" joinstyle="miter" endcap="flat"/>
                </v:rect>
              </v:group>
            </w:pict>
          </mc:Fallback>
        </mc:AlternateContent>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ListParagraph"/>
        <w:numPr>
          <w:ilvl w:val="0"/>
          <w:numId w:val="2"/>
        </w:numPr>
        <w:jc w:val="both"/>
        <w:rPr>
          <w:lang w:val="ro-RO"/>
        </w:rPr>
      </w:pPr>
      <w:r>
        <w:rPr>
          <w:lang w:val="ro-RO"/>
        </w:rPr>
        <w:t>Exemplu nou model de EHIC „Dreptul cetăţeanului” emis de UK pentru studenţi</w:t>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drawing>
          <wp:inline distT="0" distB="0" distL="0" distR="0">
            <wp:extent cx="4505960" cy="268605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rcRect l="26465" t="28122" r="32937" b="28847"/>
                    <a:stretch>
                      <a:fillRect/>
                    </a:stretch>
                  </pic:blipFill>
                  <pic:spPr bwMode="auto">
                    <a:xfrm>
                      <a:off x="0" y="0"/>
                      <a:ext cx="4505960" cy="2686050"/>
                    </a:xfrm>
                    <a:prstGeom prst="rect">
                      <a:avLst/>
                    </a:prstGeom>
                  </pic:spPr>
                </pic:pic>
              </a:graphicData>
            </a:graphic>
          </wp:inline>
        </w:drawing>
      </w:r>
    </w:p>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r>
    </w:p>
    <w:p>
      <w:pPr>
        <w:pStyle w:val="Normal"/>
        <w:jc w:val="both"/>
        <w:rPr>
          <w:lang w:val="ro-RO"/>
        </w:rPr>
      </w:pPr>
      <w:r>
        <w:rPr>
          <w:lang w:val="ro-RO"/>
        </w:rPr>
      </w:r>
    </w:p>
    <w:p>
      <w:pPr>
        <w:pStyle w:val="Normal"/>
        <w:jc w:val="both"/>
        <w:rPr>
          <w:lang w:val="ro-RO"/>
        </w:rPr>
      </w:pPr>
      <w:r>
        <w:rPr>
          <w:lang w:val="ro-RO"/>
        </w:rPr>
        <w:t>Vă rugăm să consultați mai jos programul transmis de Regatul Unit referitor la posibilitatea de a depune cererea în vederea solicitării noului model de EHIC, pentru grupuri diferite, conform condiţiilor Acordului de retragere:</w:t>
      </w:r>
    </w:p>
    <w:tbl>
      <w:tblPr>
        <w:tblStyle w:val="TableGrid"/>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53"/>
        <w:gridCol w:w="5102"/>
      </w:tblGrid>
      <w:tr>
        <w:trPr/>
        <w:tc>
          <w:tcPr>
            <w:tcW w:w="5353" w:type="dxa"/>
            <w:tcBorders/>
          </w:tcPr>
          <w:p>
            <w:pPr>
              <w:pStyle w:val="Paragraph"/>
              <w:widowControl/>
              <w:spacing w:before="0" w:after="0"/>
              <w:jc w:val="left"/>
              <w:textAlignment w:val="baseline"/>
              <w:rPr>
                <w:rStyle w:val="Eop"/>
                <w:b/>
                <w:b/>
                <w:bCs/>
                <w:lang w:val="ro-RO"/>
              </w:rPr>
            </w:pPr>
            <w:r>
              <w:rPr>
                <w:rStyle w:val="Eop"/>
                <w:b/>
                <w:bCs/>
                <w:kern w:val="0"/>
                <w:lang w:val="ro-RO" w:bidi="ar-SA"/>
              </w:rPr>
              <w:t>Grupuri</w:t>
            </w:r>
          </w:p>
        </w:tc>
        <w:tc>
          <w:tcPr>
            <w:tcW w:w="5102" w:type="dxa"/>
            <w:tcBorders/>
          </w:tcPr>
          <w:p>
            <w:pPr>
              <w:pStyle w:val="Paragraph"/>
              <w:widowControl/>
              <w:spacing w:before="0" w:after="0"/>
              <w:jc w:val="left"/>
              <w:textAlignment w:val="baseline"/>
              <w:rPr>
                <w:rStyle w:val="Eop"/>
                <w:b/>
                <w:b/>
                <w:bCs/>
                <w:lang w:val="ro-RO"/>
              </w:rPr>
            </w:pPr>
            <w:r>
              <w:rPr>
                <w:rStyle w:val="Eop"/>
                <w:b/>
                <w:bCs/>
                <w:kern w:val="0"/>
                <w:lang w:val="ro-RO" w:bidi="ar-SA"/>
              </w:rPr>
              <w:t>Anticipare dată înaintare cerere</w:t>
            </w:r>
          </w:p>
        </w:tc>
      </w:tr>
      <w:tr>
        <w:trPr/>
        <w:tc>
          <w:tcPr>
            <w:tcW w:w="5353" w:type="dxa"/>
            <w:tcBorders/>
          </w:tcPr>
          <w:p>
            <w:pPr>
              <w:pStyle w:val="Paragraph"/>
              <w:widowControl/>
              <w:spacing w:before="0" w:after="0"/>
              <w:jc w:val="left"/>
              <w:textAlignment w:val="baseline"/>
              <w:rPr>
                <w:rStyle w:val="Eop"/>
                <w:lang w:val="ro-RO"/>
              </w:rPr>
            </w:pPr>
            <w:r>
              <w:rPr>
                <w:rStyle w:val="Eop"/>
                <w:kern w:val="0"/>
                <w:lang w:val="ro-RO" w:bidi="ar-SA"/>
              </w:rPr>
              <w:t>Asiguraţi britanici rezidenţi într-un stat membru, posesori de S1 înregistrat</w:t>
            </w:r>
          </w:p>
        </w:tc>
        <w:tc>
          <w:tcPr>
            <w:tcW w:w="5102" w:type="dxa"/>
            <w:tcBorders/>
          </w:tcPr>
          <w:p>
            <w:pPr>
              <w:pStyle w:val="Paragraph"/>
              <w:widowControl/>
              <w:spacing w:before="0" w:after="0"/>
              <w:jc w:val="left"/>
              <w:textAlignment w:val="baseline"/>
              <w:rPr>
                <w:rStyle w:val="Eop"/>
                <w:lang w:val="ro-RO"/>
              </w:rPr>
            </w:pPr>
            <w:r>
              <w:rPr>
                <w:rStyle w:val="Eop"/>
                <w:kern w:val="0"/>
                <w:lang w:val="ro-RO" w:bidi="ar-SA"/>
              </w:rPr>
              <w:t>Final de octombrie/început de noiembrie 2020</w:t>
            </w:r>
          </w:p>
        </w:tc>
      </w:tr>
      <w:tr>
        <w:trPr/>
        <w:tc>
          <w:tcPr>
            <w:tcW w:w="5353" w:type="dxa"/>
            <w:tcBorders/>
          </w:tcPr>
          <w:p>
            <w:pPr>
              <w:pStyle w:val="Paragraph"/>
              <w:widowControl/>
              <w:spacing w:before="0" w:after="0"/>
              <w:jc w:val="left"/>
              <w:textAlignment w:val="baseline"/>
              <w:rPr>
                <w:rStyle w:val="Eop"/>
                <w:lang w:val="ro-RO"/>
              </w:rPr>
            </w:pPr>
            <w:r>
              <w:rPr>
                <w:rStyle w:val="Eop"/>
                <w:kern w:val="0"/>
                <w:lang w:val="ro-RO" w:bidi="ar-SA"/>
              </w:rPr>
              <w:t>Studenți rezidenți în mod obișnuit în UK, într-o ședere temporară în alt stat membru în scopul studierii, iniţiată anterior date de  31 decembrie 2020</w:t>
            </w:r>
          </w:p>
        </w:tc>
        <w:tc>
          <w:tcPr>
            <w:tcW w:w="5102" w:type="dxa"/>
            <w:tcBorders/>
          </w:tcPr>
          <w:p>
            <w:pPr>
              <w:pStyle w:val="Paragraph"/>
              <w:widowControl/>
              <w:spacing w:before="0" w:after="0"/>
              <w:jc w:val="left"/>
              <w:textAlignment w:val="baseline"/>
              <w:rPr>
                <w:rStyle w:val="Eop"/>
                <w:lang w:val="ro-RO"/>
              </w:rPr>
            </w:pPr>
            <w:r>
              <w:rPr>
                <w:rStyle w:val="Eop"/>
                <w:kern w:val="0"/>
                <w:lang w:val="ro-RO" w:bidi="ar-SA"/>
              </w:rPr>
              <w:t>Final de octombrie/început de noiembrie 2020</w:t>
            </w:r>
          </w:p>
        </w:tc>
      </w:tr>
      <w:tr>
        <w:trPr/>
        <w:tc>
          <w:tcPr>
            <w:tcW w:w="5353" w:type="dxa"/>
            <w:tcBorders/>
          </w:tcPr>
          <w:p>
            <w:pPr>
              <w:pStyle w:val="Paragraph"/>
              <w:widowControl/>
              <w:spacing w:before="0" w:after="0"/>
              <w:jc w:val="left"/>
              <w:textAlignment w:val="baseline"/>
              <w:rPr>
                <w:rStyle w:val="Eop"/>
                <w:lang w:val="ro-RO"/>
              </w:rPr>
            </w:pPr>
            <w:r>
              <w:rPr>
                <w:rStyle w:val="Eop"/>
                <w:kern w:val="0"/>
                <w:lang w:val="ro-RO" w:bidi="ar-SA"/>
              </w:rPr>
              <w:t>Lucrători detașați asigurați în UK cu un formular A1 valid, care pot continua detașarea conform legislaţiei naţionale a statului membru în care se află</w:t>
            </w:r>
          </w:p>
        </w:tc>
        <w:tc>
          <w:tcPr>
            <w:tcW w:w="5102" w:type="dxa"/>
            <w:tcBorders/>
          </w:tcPr>
          <w:p>
            <w:pPr>
              <w:pStyle w:val="Paragraph"/>
              <w:widowControl/>
              <w:spacing w:before="0" w:after="0"/>
              <w:jc w:val="left"/>
              <w:textAlignment w:val="baseline"/>
              <w:rPr>
                <w:rStyle w:val="Eop"/>
                <w:lang w:val="ro-RO"/>
              </w:rPr>
            </w:pPr>
            <w:r>
              <w:rPr>
                <w:rStyle w:val="Eop"/>
                <w:kern w:val="0"/>
                <w:lang w:val="ro-RO" w:bidi="ar-SA"/>
              </w:rPr>
              <w:t>Final de octombrie/început de noiembrie 2020, se aşteaptă confirmarea statelor membre</w:t>
            </w:r>
          </w:p>
        </w:tc>
      </w:tr>
      <w:tr>
        <w:trPr/>
        <w:tc>
          <w:tcPr>
            <w:tcW w:w="5353" w:type="dxa"/>
            <w:tcBorders/>
          </w:tcPr>
          <w:p>
            <w:pPr>
              <w:pStyle w:val="Paragraph"/>
              <w:widowControl/>
              <w:spacing w:before="0" w:after="0"/>
              <w:jc w:val="left"/>
              <w:textAlignment w:val="baseline"/>
              <w:rPr>
                <w:rStyle w:val="Eop"/>
                <w:lang w:val="ro-RO"/>
              </w:rPr>
            </w:pPr>
            <w:r>
              <w:rPr>
                <w:rStyle w:val="Eop"/>
                <w:kern w:val="0"/>
                <w:lang w:val="ro-RO" w:bidi="ar-SA"/>
              </w:rPr>
              <w:t>Cetățenii UE rezidenți în UK conform art. 10 din Acordul de retragere</w:t>
            </w:r>
          </w:p>
        </w:tc>
        <w:tc>
          <w:tcPr>
            <w:tcW w:w="5102" w:type="dxa"/>
            <w:tcBorders/>
          </w:tcPr>
          <w:p>
            <w:pPr>
              <w:pStyle w:val="Paragraph"/>
              <w:widowControl/>
              <w:spacing w:before="0" w:after="0"/>
              <w:jc w:val="left"/>
              <w:textAlignment w:val="baseline"/>
              <w:rPr>
                <w:rStyle w:val="Eop"/>
                <w:lang w:val="ro-RO"/>
              </w:rPr>
            </w:pPr>
            <w:r>
              <w:rPr>
                <w:rStyle w:val="Eop"/>
                <w:kern w:val="0"/>
                <w:lang w:val="ro-RO" w:bidi="ar-SA"/>
              </w:rPr>
              <w:t>Început de decembrie 2020</w:t>
            </w:r>
          </w:p>
        </w:tc>
      </w:tr>
    </w:tbl>
    <w:p>
      <w:pPr>
        <w:pStyle w:val="Normal"/>
        <w:tabs>
          <w:tab w:val="clear" w:pos="720"/>
          <w:tab w:val="left" w:pos="9356" w:leader="none"/>
          <w:tab w:val="left" w:pos="10206" w:leader="none"/>
        </w:tabs>
        <w:spacing w:lineRule="auto" w:line="276" w:before="120" w:after="120"/>
        <w:ind w:right="199" w:hanging="0"/>
        <w:jc w:val="both"/>
        <w:rPr>
          <w:rFonts w:eastAsia="Times New Roman"/>
          <w:lang w:val="ro-RO"/>
        </w:rPr>
      </w:pPr>
      <w:r>
        <w:rPr>
          <w:rFonts w:eastAsia="Times New Roman"/>
          <w:lang w:val="ro-RO"/>
        </w:rPr>
        <w:t>Mai multe detalii se regăsesc la link-ul:</w:t>
      </w:r>
      <w:r>
        <w:rPr/>
        <w:t xml:space="preserve"> </w:t>
      </w:r>
      <w:r>
        <w:rPr>
          <w:rFonts w:eastAsia="Times New Roman"/>
          <w:lang w:val="ro-RO"/>
        </w:rPr>
        <w:t>https://www.nhs.uk/using-the-nhs/healthcare-abroad/apply-for-a-free-ehic-european-health-insurance-card/</w:t>
      </w:r>
    </w:p>
    <w:p>
      <w:pPr>
        <w:pStyle w:val="ListParagraph"/>
        <w:tabs>
          <w:tab w:val="clear" w:pos="720"/>
          <w:tab w:val="left" w:pos="9356" w:leader="none"/>
          <w:tab w:val="left" w:pos="10206" w:leader="none"/>
        </w:tabs>
        <w:spacing w:lineRule="auto" w:line="276" w:before="120" w:after="120"/>
        <w:ind w:left="0" w:right="199" w:hanging="0"/>
        <w:rPr>
          <w:rFonts w:eastAsia="Times New Roman"/>
          <w:u w:val="single"/>
          <w:lang w:val="ro-RO"/>
        </w:rPr>
      </w:pPr>
      <w:r>
        <w:rPr>
          <w:rStyle w:val="Strong"/>
          <w:b w:val="false"/>
          <w:u w:val="single"/>
          <w:shd w:fill="FFFFFF" w:val="clear"/>
          <w:lang w:val="ro-RO"/>
        </w:rPr>
        <w:t>Decontarea</w:t>
      </w:r>
      <w:r>
        <w:rPr>
          <w:u w:val="single"/>
          <w:shd w:fill="FFFFFF" w:val="clear"/>
          <w:lang w:val="ro-RO"/>
        </w:rPr>
        <w:t> serviciilor medicale aferente cardului european şi documentului portabil S1, se vor face la nivel interinstituţional.</w:t>
      </w:r>
      <w:r>
        <w:rPr>
          <w:rFonts w:eastAsia="Times New Roman"/>
          <w:u w:val="single"/>
          <w:lang w:val="ro-RO"/>
        </w:rPr>
        <w:t xml:space="preserve"> </w:t>
      </w:r>
    </w:p>
    <w:p>
      <w:pPr>
        <w:pStyle w:val="ListParagraph"/>
        <w:tabs>
          <w:tab w:val="clear" w:pos="720"/>
          <w:tab w:val="left" w:pos="9356" w:leader="none"/>
          <w:tab w:val="left" w:pos="10206" w:leader="none"/>
        </w:tabs>
        <w:spacing w:lineRule="auto" w:line="276" w:before="120" w:after="120"/>
        <w:ind w:left="0" w:right="199" w:hanging="0"/>
        <w:rPr>
          <w:rFonts w:eastAsia="Times New Roman"/>
          <w:u w:val="single"/>
          <w:lang w:val="ro-RO"/>
        </w:rPr>
      </w:pPr>
      <w:r>
        <w:rPr>
          <w:rFonts w:eastAsia="Times New Roman"/>
          <w:u w:val="single"/>
          <w:lang w:val="ro-RO"/>
        </w:rPr>
      </w:r>
    </w:p>
    <w:p>
      <w:pPr>
        <w:pStyle w:val="Normal"/>
        <w:spacing w:lineRule="auto" w:line="276"/>
        <w:ind w:right="-23" w:hanging="0"/>
        <w:jc w:val="both"/>
        <w:rPr>
          <w:rFonts w:eastAsia="Times New Roman"/>
          <w:lang w:val="ro-RO"/>
        </w:rPr>
      </w:pPr>
      <w:r>
        <w:rPr>
          <w:b/>
          <w:i/>
          <w:color w:val="0000FF"/>
          <w:lang w:val="ro-RO"/>
        </w:rPr>
        <w:t xml:space="preserve">Începând cu 1 ianuarie 2021, libera circulație între Uniunea Europeană și Regatul Unit se încheie. </w:t>
      </w:r>
      <w:r>
        <w:rPr>
          <w:rFonts w:eastAsia="Times New Roman"/>
          <w:lang w:val="ro-RO"/>
        </w:rPr>
        <w:t>Acest lucru va avea repercusiuni asupra facilitării mobilităţii pentru resortisanţii britanici</w:t>
      </w:r>
      <w:r>
        <w:rPr>
          <w:i/>
          <w:lang w:val="ro-RO"/>
        </w:rPr>
        <w:t xml:space="preserve"> care nu sunt beneficiari ai Acordului de retragere, </w:t>
      </w:r>
      <w:r>
        <w:rPr>
          <w:rFonts w:eastAsia="Times New Roman"/>
          <w:lang w:val="ro-RO"/>
        </w:rPr>
        <w:t xml:space="preserve">și care doresc să vină în România pe perioade mai lungi, indiferent dacă aceștia sunt studenți, lucrători, pensionari sau membri de familie ai acestora. Toate deplasările lor în România vor fi reglementate de legislația din România în materie de imigrație. Pentru asiguraţii britanici </w:t>
      </w:r>
      <w:bookmarkStart w:id="0" w:name="_GoBack"/>
      <w:bookmarkEnd w:id="0"/>
      <w:r>
        <w:rPr>
          <w:rFonts w:eastAsia="Times New Roman"/>
          <w:lang w:val="ro-RO"/>
        </w:rPr>
        <w:t>care vor exercita o anumită formă de mobilitate în temeiul noului regim al Regatului Unit, coordonarea actuală a sistemelor de asigurări de sănătate prevăzută de reglementările Uniunii va înceta să existe.</w:t>
      </w:r>
    </w:p>
    <w:p>
      <w:pPr>
        <w:pStyle w:val="Normal"/>
        <w:tabs>
          <w:tab w:val="clear" w:pos="720"/>
          <w:tab w:val="left" w:pos="9356" w:leader="none"/>
          <w:tab w:val="left" w:pos="10206" w:leader="none"/>
        </w:tabs>
        <w:spacing w:lineRule="auto" w:line="276" w:before="0" w:after="120"/>
        <w:ind w:right="199" w:hanging="0"/>
        <w:jc w:val="both"/>
        <w:rPr>
          <w:rFonts w:eastAsia="Times New Roman"/>
          <w:lang w:val="ro-RO"/>
        </w:rPr>
      </w:pPr>
      <w:r>
        <w:rPr>
          <w:rFonts w:eastAsia="Times New Roman"/>
          <w:lang w:val="ro-RO"/>
        </w:rPr>
      </w:r>
    </w:p>
    <w:p>
      <w:pPr>
        <w:pStyle w:val="Normal"/>
        <w:tabs>
          <w:tab w:val="clear" w:pos="720"/>
          <w:tab w:val="left" w:pos="9356" w:leader="none"/>
          <w:tab w:val="left" w:pos="10206" w:leader="none"/>
        </w:tabs>
        <w:spacing w:lineRule="auto" w:line="360" w:before="120" w:after="120"/>
        <w:ind w:right="199" w:hanging="0"/>
        <w:jc w:val="both"/>
        <w:rPr>
          <w:b/>
          <w:b/>
          <w:i/>
          <w:i/>
          <w:color w:val="0000FF"/>
          <w:u w:val="single"/>
          <w:lang w:val="ro-RO"/>
        </w:rPr>
      </w:pPr>
      <w:r>
        <w:rPr>
          <w:b/>
          <w:i/>
          <w:color w:val="0000FF"/>
          <w:u w:val="single"/>
          <w:lang w:val="ro-RO"/>
        </w:rPr>
      </w:r>
    </w:p>
    <w:p>
      <w:pPr>
        <w:pStyle w:val="Normal"/>
        <w:spacing w:lineRule="auto" w:line="276" w:before="120" w:after="120"/>
        <w:ind w:right="-23" w:hanging="0"/>
        <w:jc w:val="both"/>
        <w:rPr>
          <w:b/>
          <w:b/>
          <w:i/>
          <w:i/>
          <w:color w:val="0000FF"/>
          <w:lang w:val="ro-RO"/>
        </w:rPr>
      </w:pPr>
      <w:r>
        <w:rPr>
          <w:b/>
          <w:i/>
          <w:color w:val="0000FF"/>
          <w:lang w:val="ro-RO"/>
        </w:rPr>
      </w:r>
    </w:p>
    <w:p>
      <w:pPr>
        <w:pStyle w:val="Normal"/>
        <w:spacing w:lineRule="auto" w:line="276" w:before="120" w:after="120"/>
        <w:ind w:right="-23" w:hanging="0"/>
        <w:jc w:val="both"/>
        <w:rPr>
          <w:b/>
          <w:b/>
          <w:i/>
          <w:i/>
          <w:color w:val="0000FF"/>
          <w:lang w:val="ro-RO"/>
        </w:rPr>
      </w:pPr>
      <w:r>
        <w:rPr>
          <w:i/>
          <w:sz w:val="20"/>
          <w:szCs w:val="20"/>
          <w:lang w:val="ro-RO"/>
        </w:rPr>
        <w:t>Notă: Prezentul document va fi actualizat permanente.</w:t>
      </w:r>
    </w:p>
    <w:p>
      <w:pPr>
        <w:pStyle w:val="Normal"/>
        <w:tabs>
          <w:tab w:val="clear" w:pos="720"/>
          <w:tab w:val="left" w:pos="9356" w:leader="none"/>
          <w:tab w:val="left" w:pos="10206" w:leader="none"/>
        </w:tabs>
        <w:spacing w:lineRule="auto" w:line="276" w:before="120" w:after="120"/>
        <w:ind w:right="199" w:hanging="0"/>
        <w:jc w:val="both"/>
        <w:rPr>
          <w:i/>
          <w:i/>
          <w:sz w:val="20"/>
          <w:szCs w:val="20"/>
          <w:lang w:val="ro-RO"/>
        </w:rPr>
      </w:pPr>
      <w:r>
        <w:rPr/>
      </w:r>
    </w:p>
    <w:sectPr>
      <w:footerReference w:type="default" r:id="rId5"/>
      <w:type w:val="nextPage"/>
      <w:pgSz w:w="12240" w:h="15840"/>
      <w:pgMar w:left="1361" w:right="616" w:header="0" w:top="992" w:footer="74" w:bottom="134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5805564"/>
    </w:sdtPr>
    <w:sdtContent>
      <w:p>
        <w:pPr>
          <w:pStyle w:val="Subsol"/>
          <w:jc w:val="right"/>
          <w:rPr/>
        </w:pPr>
        <w:r>
          <w:rPr/>
          <w:fldChar w:fldCharType="begin"/>
        </w:r>
        <w:r>
          <w:rPr/>
          <w:instrText> PAGE </w:instrText>
        </w:r>
        <w:r>
          <w:rPr/>
          <w:fldChar w:fldCharType="separate"/>
        </w:r>
        <w:r>
          <w:rPr/>
          <w:t>4</w:t>
        </w:r>
        <w:r>
          <w:rPr/>
          <w:fldChar w:fldCharType="end"/>
        </w:r>
      </w:p>
    </w:sdtContent>
  </w:sdt>
  <w:p>
    <w:pPr>
      <w:pStyle w:val="Subso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2647"/>
    <w:pPr>
      <w:widowControl/>
      <w:bidi w:val="0"/>
      <w:spacing w:lineRule="auto" w:line="252" w:before="0" w:after="160"/>
      <w:jc w:val="left"/>
    </w:pPr>
    <w:rPr>
      <w:rFonts w:ascii="Times New Roman" w:hAnsi="Times New Roman" w:cs="Times New Roman" w:eastAsia="Calibri" w:eastAsiaTheme="minorHAnsi"/>
      <w:color w:val="auto"/>
      <w:kern w:val="0"/>
      <w:sz w:val="24"/>
      <w:szCs w:val="24"/>
      <w:lang w:val="en-US" w:eastAsia="en-US" w:bidi="ar-SA"/>
    </w:rPr>
  </w:style>
  <w:style w:type="paragraph" w:styleId="Titlu3">
    <w:name w:val="Heading 3"/>
    <w:basedOn w:val="Normal"/>
    <w:link w:val="Heading3Char"/>
    <w:uiPriority w:val="9"/>
    <w:qFormat/>
    <w:rsid w:val="00d632a8"/>
    <w:pPr>
      <w:spacing w:lineRule="auto" w:line="240" w:beforeAutospacing="1" w:afterAutospacing="1"/>
      <w:outlineLvl w:val="2"/>
    </w:pPr>
    <w:rPr>
      <w:rFonts w:eastAsia="Times New Roman"/>
      <w:b/>
      <w:bCs/>
      <w:sz w:val="27"/>
      <w:szCs w:val="27"/>
    </w:rPr>
  </w:style>
  <w:style w:type="character" w:styleId="DefaultParagraphFont" w:default="1">
    <w:name w:val="Default Paragraph Font"/>
    <w:uiPriority w:val="1"/>
    <w:semiHidden/>
    <w:unhideWhenUsed/>
    <w:qFormat/>
    <w:rPr/>
  </w:style>
  <w:style w:type="character" w:styleId="LegturInternet">
    <w:name w:val="Legătură Internet"/>
    <w:basedOn w:val="DefaultParagraphFont"/>
    <w:uiPriority w:val="99"/>
    <w:unhideWhenUsed/>
    <w:rsid w:val="00554906"/>
    <w:rPr>
      <w:color w:val="0563C1" w:themeColor="hyperlink"/>
      <w:u w:val="single"/>
    </w:rPr>
  </w:style>
  <w:style w:type="character" w:styleId="FootnoteTextChar" w:customStyle="1">
    <w:name w:val="Footnote Text Char"/>
    <w:basedOn w:val="DefaultParagraphFont"/>
    <w:link w:val="FootnoteText"/>
    <w:uiPriority w:val="99"/>
    <w:semiHidden/>
    <w:qFormat/>
    <w:rsid w:val="00554906"/>
    <w:rPr>
      <w:rFonts w:ascii="Times New Roman" w:hAnsi="Times New Roman" w:cs="Times New Roman"/>
      <w:sz w:val="20"/>
      <w:szCs w:val="20"/>
    </w:rPr>
  </w:style>
  <w:style w:type="character" w:styleId="Ancoranoteidesubsol">
    <w:name w:val="Ancora notei de subsol"/>
    <w:rPr>
      <w:vertAlign w:val="superscript"/>
    </w:rPr>
  </w:style>
  <w:style w:type="character" w:styleId="FootnoteCharacters">
    <w:name w:val="Footnote Characters"/>
    <w:basedOn w:val="DefaultParagraphFont"/>
    <w:uiPriority w:val="99"/>
    <w:semiHidden/>
    <w:unhideWhenUsed/>
    <w:qFormat/>
    <w:rsid w:val="00554906"/>
    <w:rPr>
      <w:vertAlign w:val="superscript"/>
    </w:rPr>
  </w:style>
  <w:style w:type="character" w:styleId="Strong">
    <w:name w:val="Strong"/>
    <w:basedOn w:val="DefaultParagraphFont"/>
    <w:uiPriority w:val="22"/>
    <w:qFormat/>
    <w:rsid w:val="003f133a"/>
    <w:rPr>
      <w:b/>
      <w:bCs/>
    </w:rPr>
  </w:style>
  <w:style w:type="character" w:styleId="BodyTextChar" w:customStyle="1">
    <w:name w:val="Body Text Char"/>
    <w:basedOn w:val="DefaultParagraphFont"/>
    <w:link w:val="BodyText"/>
    <w:semiHidden/>
    <w:qFormat/>
    <w:rsid w:val="00a80791"/>
    <w:rPr>
      <w:rFonts w:ascii="Times New Roman" w:hAnsi="Times New Roman" w:eastAsia="Times New Roman" w:cs="Times New Roman"/>
      <w:sz w:val="24"/>
      <w:szCs w:val="24"/>
      <w:lang w:val="ro-RO" w:eastAsia="ro-RO"/>
    </w:rPr>
  </w:style>
  <w:style w:type="character" w:styleId="Accentuat">
    <w:name w:val="Accentuat"/>
    <w:basedOn w:val="DefaultParagraphFont"/>
    <w:uiPriority w:val="20"/>
    <w:qFormat/>
    <w:rsid w:val="00812d7b"/>
    <w:rPr>
      <w:i/>
      <w:iCs/>
    </w:rPr>
  </w:style>
  <w:style w:type="character" w:styleId="HeaderChar" w:customStyle="1">
    <w:name w:val="Header Char"/>
    <w:basedOn w:val="DefaultParagraphFont"/>
    <w:link w:val="Header"/>
    <w:uiPriority w:val="99"/>
    <w:qFormat/>
    <w:rsid w:val="00b95416"/>
    <w:rPr>
      <w:rFonts w:ascii="Times New Roman" w:hAnsi="Times New Roman" w:cs="Times New Roman"/>
      <w:sz w:val="24"/>
      <w:szCs w:val="24"/>
    </w:rPr>
  </w:style>
  <w:style w:type="character" w:styleId="FooterChar" w:customStyle="1">
    <w:name w:val="Footer Char"/>
    <w:basedOn w:val="DefaultParagraphFont"/>
    <w:link w:val="Footer"/>
    <w:uiPriority w:val="99"/>
    <w:qFormat/>
    <w:rsid w:val="00b95416"/>
    <w:rPr>
      <w:rFonts w:ascii="Times New Roman" w:hAnsi="Times New Roman" w:cs="Times New Roman"/>
      <w:sz w:val="24"/>
      <w:szCs w:val="24"/>
    </w:rPr>
  </w:style>
  <w:style w:type="character" w:styleId="BalloonTextChar" w:customStyle="1">
    <w:name w:val="Balloon Text Char"/>
    <w:basedOn w:val="DefaultParagraphFont"/>
    <w:link w:val="BalloonText"/>
    <w:uiPriority w:val="99"/>
    <w:semiHidden/>
    <w:qFormat/>
    <w:rsid w:val="00bc1e52"/>
    <w:rPr>
      <w:rFonts w:ascii="Segoe UI" w:hAnsi="Segoe UI" w:cs="Segoe UI"/>
      <w:sz w:val="18"/>
      <w:szCs w:val="18"/>
    </w:rPr>
  </w:style>
  <w:style w:type="character" w:styleId="Annotationreference">
    <w:name w:val="annotation reference"/>
    <w:basedOn w:val="DefaultParagraphFont"/>
    <w:uiPriority w:val="99"/>
    <w:semiHidden/>
    <w:unhideWhenUsed/>
    <w:qFormat/>
    <w:rsid w:val="004920b7"/>
    <w:rPr>
      <w:sz w:val="16"/>
      <w:szCs w:val="16"/>
    </w:rPr>
  </w:style>
  <w:style w:type="character" w:styleId="CommentTextChar" w:customStyle="1">
    <w:name w:val="Comment Text Char"/>
    <w:basedOn w:val="DefaultParagraphFont"/>
    <w:link w:val="CommentText"/>
    <w:uiPriority w:val="99"/>
    <w:semiHidden/>
    <w:qFormat/>
    <w:rsid w:val="004920b7"/>
    <w:rPr>
      <w:rFonts w:ascii="Times New Roman" w:hAnsi="Times New Roman" w:cs="Times New Roman"/>
      <w:sz w:val="20"/>
      <w:szCs w:val="20"/>
    </w:rPr>
  </w:style>
  <w:style w:type="character" w:styleId="CommentSubjectChar" w:customStyle="1">
    <w:name w:val="Comment Subject Char"/>
    <w:basedOn w:val="CommentTextChar"/>
    <w:link w:val="CommentSubject"/>
    <w:uiPriority w:val="99"/>
    <w:semiHidden/>
    <w:qFormat/>
    <w:rsid w:val="004920b7"/>
    <w:rPr>
      <w:rFonts w:ascii="Times New Roman" w:hAnsi="Times New Roman" w:cs="Times New Roman"/>
      <w:b/>
      <w:bCs/>
      <w:sz w:val="20"/>
      <w:szCs w:val="20"/>
    </w:rPr>
  </w:style>
  <w:style w:type="character" w:styleId="LegturInternetvizitat">
    <w:name w:val="Legătură Internet vizitată"/>
    <w:basedOn w:val="DefaultParagraphFont"/>
    <w:uiPriority w:val="99"/>
    <w:semiHidden/>
    <w:unhideWhenUsed/>
    <w:rsid w:val="000a7ceb"/>
    <w:rPr>
      <w:color w:val="954F72" w:themeColor="followedHyperlink"/>
      <w:u w:val="single"/>
    </w:rPr>
  </w:style>
  <w:style w:type="character" w:styleId="Heading3Char" w:customStyle="1">
    <w:name w:val="Heading 3 Char"/>
    <w:basedOn w:val="DefaultParagraphFont"/>
    <w:link w:val="Heading3"/>
    <w:uiPriority w:val="9"/>
    <w:qFormat/>
    <w:rsid w:val="00d632a8"/>
    <w:rPr>
      <w:rFonts w:ascii="Times New Roman" w:hAnsi="Times New Roman" w:eastAsia="Times New Roman" w:cs="Times New Roman"/>
      <w:b/>
      <w:bCs/>
      <w:sz w:val="27"/>
      <w:szCs w:val="27"/>
    </w:rPr>
  </w:style>
  <w:style w:type="character" w:styleId="ListParagraphChar" w:customStyle="1">
    <w:name w:val="List Paragraph Char"/>
    <w:link w:val="ListParagraph"/>
    <w:uiPriority w:val="34"/>
    <w:qFormat/>
    <w:locked/>
    <w:rsid w:val="00541fad"/>
    <w:rPr>
      <w:rFonts w:ascii="Times New Roman" w:hAnsi="Times New Roman" w:cs="Times New Roman"/>
      <w:sz w:val="24"/>
      <w:szCs w:val="24"/>
    </w:rPr>
  </w:style>
  <w:style w:type="character" w:styleId="Eop" w:customStyle="1">
    <w:name w:val="eop"/>
    <w:basedOn w:val="DefaultParagraphFont"/>
    <w:qFormat/>
    <w:rsid w:val="003e3699"/>
    <w:rPr/>
  </w:style>
  <w:style w:type="paragraph" w:styleId="Stiltitlu">
    <w:name w:val="Stil titlu"/>
    <w:basedOn w:val="Normal"/>
    <w:next w:val="Corptext"/>
    <w:qFormat/>
    <w:pPr>
      <w:keepNext w:val="true"/>
      <w:spacing w:before="240" w:after="120"/>
    </w:pPr>
    <w:rPr>
      <w:rFonts w:ascii="Liberation Sans" w:hAnsi="Liberation Sans" w:eastAsia="Microsoft YaHei" w:cs="Lucida Sans"/>
      <w:sz w:val="28"/>
      <w:szCs w:val="28"/>
    </w:rPr>
  </w:style>
  <w:style w:type="paragraph" w:styleId="Corptext">
    <w:name w:val="Body Text"/>
    <w:basedOn w:val="Normal"/>
    <w:link w:val="BodyTextChar"/>
    <w:semiHidden/>
    <w:unhideWhenUsed/>
    <w:rsid w:val="00a80791"/>
    <w:pPr>
      <w:spacing w:lineRule="auto" w:line="240" w:before="0" w:after="120"/>
    </w:pPr>
    <w:rPr>
      <w:rFonts w:eastAsia="Times New Roman"/>
      <w:lang w:val="ro-RO" w:eastAsia="ro-RO"/>
    </w:rPr>
  </w:style>
  <w:style w:type="paragraph" w:styleId="List">
    <w:name w:val="List"/>
    <w:basedOn w:val="Corptext"/>
    <w:pPr/>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ListParagraphChar"/>
    <w:uiPriority w:val="34"/>
    <w:qFormat/>
    <w:rsid w:val="00672647"/>
    <w:pPr>
      <w:ind w:left="720" w:hanging="0"/>
    </w:pPr>
    <w:rPr/>
  </w:style>
  <w:style w:type="paragraph" w:styleId="Notdesubsol">
    <w:name w:val="Footnote Text"/>
    <w:basedOn w:val="Normal"/>
    <w:link w:val="FootnoteTextChar"/>
    <w:uiPriority w:val="99"/>
    <w:semiHidden/>
    <w:unhideWhenUsed/>
    <w:rsid w:val="00554906"/>
    <w:pPr>
      <w:spacing w:lineRule="auto" w:line="240" w:before="0" w:after="0"/>
    </w:pPr>
    <w:rPr>
      <w:sz w:val="20"/>
      <w:szCs w:val="20"/>
    </w:rPr>
  </w:style>
  <w:style w:type="paragraph" w:styleId="NormalWeb">
    <w:name w:val="Normal (Web)"/>
    <w:basedOn w:val="Normal"/>
    <w:uiPriority w:val="99"/>
    <w:semiHidden/>
    <w:unhideWhenUsed/>
    <w:qFormat/>
    <w:rsid w:val="00b95416"/>
    <w:pPr>
      <w:spacing w:lineRule="auto" w:line="240" w:beforeAutospacing="1" w:afterAutospacing="1"/>
    </w:pPr>
    <w:rPr>
      <w:rFonts w:eastAsia="Times New Roman"/>
    </w:rPr>
  </w:style>
  <w:style w:type="paragraph" w:styleId="HeaderandFooter">
    <w:name w:val="Header and Footer"/>
    <w:basedOn w:val="Normal"/>
    <w:qFormat/>
    <w:pPr/>
    <w:rPr/>
  </w:style>
  <w:style w:type="paragraph" w:styleId="Antet">
    <w:name w:val="Header"/>
    <w:basedOn w:val="Normal"/>
    <w:link w:val="HeaderChar"/>
    <w:uiPriority w:val="99"/>
    <w:unhideWhenUsed/>
    <w:rsid w:val="00b95416"/>
    <w:pPr>
      <w:tabs>
        <w:tab w:val="clear" w:pos="720"/>
        <w:tab w:val="center" w:pos="4680" w:leader="none"/>
        <w:tab w:val="right" w:pos="9360" w:leader="none"/>
      </w:tabs>
      <w:spacing w:lineRule="auto" w:line="240" w:before="0" w:after="0"/>
    </w:pPr>
    <w:rPr/>
  </w:style>
  <w:style w:type="paragraph" w:styleId="Subsol">
    <w:name w:val="Footer"/>
    <w:basedOn w:val="Normal"/>
    <w:link w:val="FooterChar"/>
    <w:uiPriority w:val="99"/>
    <w:unhideWhenUsed/>
    <w:rsid w:val="00b95416"/>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bc1e52"/>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920b7"/>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4920b7"/>
    <w:pPr/>
    <w:rPr>
      <w:b/>
      <w:bCs/>
    </w:rPr>
  </w:style>
  <w:style w:type="paragraph" w:styleId="Caracter" w:customStyle="1">
    <w:name w:val="Caracter"/>
    <w:basedOn w:val="Normal"/>
    <w:qFormat/>
    <w:rsid w:val="00e32881"/>
    <w:pPr>
      <w:tabs>
        <w:tab w:val="clear" w:pos="720"/>
        <w:tab w:val="left" w:pos="709" w:leader="none"/>
      </w:tabs>
      <w:spacing w:lineRule="auto" w:line="240" w:before="0" w:after="0"/>
    </w:pPr>
    <w:rPr>
      <w:rFonts w:ascii="Tahoma" w:hAnsi="Tahoma" w:eastAsia="Times New Roman"/>
      <w:lang w:val="pl-PL" w:eastAsia="pl-PL"/>
    </w:rPr>
  </w:style>
  <w:style w:type="paragraph" w:styleId="Default" w:customStyle="1">
    <w:name w:val="Default"/>
    <w:qFormat/>
    <w:rsid w:val="00e32881"/>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Paragraph" w:customStyle="1">
    <w:name w:val="paragraph"/>
    <w:basedOn w:val="Normal"/>
    <w:qFormat/>
    <w:rsid w:val="003e3699"/>
    <w:pPr>
      <w:spacing w:lineRule="auto" w:line="240" w:before="0" w:after="0"/>
    </w:pPr>
    <w:rPr>
      <w:rFonts w:eastAsia="Times New Roman"/>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e3699"/>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290F-17A5-4376-9B13-FF6D9280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LibreOffice/7.0.2.2$Windows_X86_64 LibreOffice_project/8349ace3c3162073abd90d81fd06dcfb6b36b994</Application>
  <Pages>3</Pages>
  <Words>1239</Words>
  <Characters>7270</Characters>
  <CharactersWithSpaces>8486</CharactersWithSpaces>
  <Paragraphs>40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2020-11-10T09:37:00Z</dcterms:created>
  <dc:creator>Raluca Elena Talos</dc:creator>
  <dc:description/>
  <dc:language>ro-RO</dc:language>
  <cp:lastModifiedBy>Larisa Mezinu</cp:lastModifiedBy>
  <cp:lastPrinted>2020-11-11T08:19:00Z</cp:lastPrinted>
  <dcterms:modified xsi:type="dcterms:W3CDTF">2020-11-12T11:43:00Z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